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F17" w:rsidRPr="006C6CF3" w:rsidRDefault="00525946" w:rsidP="00944B89">
      <w:pPr>
        <w:pStyle w:val="acss9ebb7"/>
        <w:numPr>
          <w:ilvl w:val="0"/>
          <w:numId w:val="2"/>
        </w:numPr>
        <w:shd w:val="clear" w:color="auto" w:fill="FFFFFF"/>
        <w:spacing w:before="0" w:beforeAutospacing="0" w:after="240" w:afterAutospacing="0"/>
        <w:jc w:val="both"/>
        <w:rPr>
          <w:rFonts w:asciiTheme="minorHAnsi" w:hAnsiTheme="minorHAnsi"/>
          <w:color w:val="353535"/>
          <w:sz w:val="27"/>
          <w:szCs w:val="27"/>
        </w:rPr>
      </w:pPr>
      <w:r w:rsidRPr="006C6CF3">
        <w:rPr>
          <w:rStyle w:val="Strong"/>
          <w:rFonts w:asciiTheme="minorHAnsi" w:hAnsiTheme="minorHAnsi"/>
          <w:color w:val="353535"/>
          <w:sz w:val="27"/>
          <w:szCs w:val="27"/>
        </w:rPr>
        <w:t>1.</w:t>
      </w:r>
      <w:r w:rsidR="003A4F17" w:rsidRPr="006C6CF3">
        <w:rPr>
          <w:rStyle w:val="Strong"/>
          <w:rFonts w:asciiTheme="minorHAnsi" w:hAnsiTheme="minorHAnsi"/>
          <w:color w:val="353535"/>
          <w:sz w:val="27"/>
          <w:szCs w:val="27"/>
        </w:rPr>
        <w:t>Meaning of Capital Account Transaction</w:t>
      </w:r>
    </w:p>
    <w:p w:rsidR="003A4F17" w:rsidRPr="006C6CF3" w:rsidRDefault="003A4F17" w:rsidP="00944B89">
      <w:pPr>
        <w:pStyle w:val="acss9ebb7"/>
        <w:numPr>
          <w:ilvl w:val="0"/>
          <w:numId w:val="2"/>
        </w:numPr>
        <w:shd w:val="clear" w:color="auto" w:fill="FFFFFF"/>
        <w:spacing w:before="0" w:beforeAutospacing="0" w:after="240" w:afterAutospacing="0"/>
        <w:jc w:val="both"/>
        <w:rPr>
          <w:rFonts w:asciiTheme="minorHAnsi" w:hAnsiTheme="minorHAnsi"/>
          <w:color w:val="353535"/>
          <w:sz w:val="27"/>
          <w:szCs w:val="27"/>
        </w:rPr>
      </w:pPr>
      <w:r w:rsidRPr="006C6CF3">
        <w:rPr>
          <w:rFonts w:asciiTheme="minorHAnsi" w:hAnsiTheme="minorHAnsi"/>
          <w:color w:val="353535"/>
          <w:sz w:val="27"/>
          <w:szCs w:val="27"/>
        </w:rPr>
        <w:t>A Current Account Transaction has been defined as a Transaction other than </w:t>
      </w:r>
      <w:hyperlink r:id="rId5" w:tgtFrame="_blank" w:history="1">
        <w:r w:rsidRPr="006C6CF3">
          <w:rPr>
            <w:rStyle w:val="Strong"/>
            <w:rFonts w:asciiTheme="minorHAnsi" w:hAnsiTheme="minorHAnsi"/>
            <w:b w:val="0"/>
            <w:bCs w:val="0"/>
            <w:color w:val="000000" w:themeColor="text1"/>
            <w:sz w:val="27"/>
            <w:szCs w:val="27"/>
          </w:rPr>
          <w:t>Capital Account Transactions,</w:t>
        </w:r>
        <w:r w:rsidRPr="006C6CF3">
          <w:rPr>
            <w:rStyle w:val="Hyperlink"/>
            <w:rFonts w:asciiTheme="minorHAnsi" w:hAnsiTheme="minorHAnsi"/>
            <w:b/>
            <w:bCs/>
            <w:color w:val="000000" w:themeColor="text1"/>
            <w:sz w:val="27"/>
            <w:szCs w:val="27"/>
          </w:rPr>
          <w:t> </w:t>
        </w:r>
      </w:hyperlink>
      <w:r w:rsidRPr="006C6CF3">
        <w:rPr>
          <w:rFonts w:asciiTheme="minorHAnsi" w:hAnsiTheme="minorHAnsi"/>
          <w:color w:val="353535"/>
          <w:sz w:val="27"/>
          <w:szCs w:val="27"/>
        </w:rPr>
        <w:t xml:space="preserve">means all transaction which do </w:t>
      </w:r>
      <w:r w:rsidRPr="006C6CF3">
        <w:rPr>
          <w:rFonts w:asciiTheme="minorHAnsi" w:hAnsiTheme="minorHAnsi"/>
          <w:b/>
          <w:bCs/>
          <w:color w:val="353535"/>
          <w:sz w:val="27"/>
          <w:szCs w:val="27"/>
        </w:rPr>
        <w:t>not alter a</w:t>
      </w:r>
      <w:r w:rsidRPr="006C6CF3">
        <w:rPr>
          <w:rFonts w:asciiTheme="minorHAnsi" w:hAnsiTheme="minorHAnsi"/>
          <w:color w:val="353535"/>
          <w:sz w:val="27"/>
          <w:szCs w:val="27"/>
        </w:rPr>
        <w:t>ssets or liability outside India of resident or assets or liability in India of Non Resident treated as Current Account Transactions and without prejudice to the generality of the foregoing such transaction includes,</w:t>
      </w:r>
    </w:p>
    <w:p w:rsidR="003A4F17" w:rsidRPr="006C6CF3" w:rsidRDefault="003A4F17" w:rsidP="00944B89">
      <w:pPr>
        <w:numPr>
          <w:ilvl w:val="0"/>
          <w:numId w:val="2"/>
        </w:numPr>
        <w:shd w:val="clear" w:color="auto" w:fill="FFFFFF"/>
        <w:spacing w:before="100" w:beforeAutospacing="1" w:after="100" w:afterAutospacing="1" w:line="240" w:lineRule="auto"/>
        <w:jc w:val="both"/>
        <w:rPr>
          <w:rFonts w:eastAsia="Times New Roman"/>
          <w:color w:val="353535"/>
          <w:sz w:val="27"/>
          <w:szCs w:val="27"/>
        </w:rPr>
      </w:pPr>
      <w:r w:rsidRPr="006C6CF3">
        <w:rPr>
          <w:rFonts w:eastAsia="Times New Roman"/>
          <w:color w:val="353535"/>
          <w:sz w:val="27"/>
          <w:szCs w:val="27"/>
        </w:rPr>
        <w:t>Payments due in connection with foreign trade, other current business, services, and short term banking and credit facilities in the ordinary course of business.</w:t>
      </w:r>
    </w:p>
    <w:p w:rsidR="003A4F17" w:rsidRPr="006C6CF3" w:rsidRDefault="003A4F17" w:rsidP="00944B89">
      <w:pPr>
        <w:numPr>
          <w:ilvl w:val="0"/>
          <w:numId w:val="2"/>
        </w:numPr>
        <w:shd w:val="clear" w:color="auto" w:fill="FFFFFF"/>
        <w:spacing w:before="100" w:beforeAutospacing="1" w:after="100" w:afterAutospacing="1" w:line="240" w:lineRule="auto"/>
        <w:jc w:val="both"/>
        <w:rPr>
          <w:rFonts w:eastAsia="Times New Roman"/>
          <w:color w:val="353535"/>
          <w:sz w:val="27"/>
          <w:szCs w:val="27"/>
        </w:rPr>
      </w:pPr>
      <w:r w:rsidRPr="006C6CF3">
        <w:rPr>
          <w:rFonts w:eastAsia="Times New Roman"/>
          <w:color w:val="353535"/>
          <w:sz w:val="27"/>
          <w:szCs w:val="27"/>
        </w:rPr>
        <w:t>Payments due as interest on loans and as net income from investments,</w:t>
      </w:r>
    </w:p>
    <w:p w:rsidR="003A4F17" w:rsidRPr="006C6CF3" w:rsidRDefault="003A4F17" w:rsidP="00944B89">
      <w:pPr>
        <w:numPr>
          <w:ilvl w:val="0"/>
          <w:numId w:val="2"/>
        </w:numPr>
        <w:shd w:val="clear" w:color="auto" w:fill="FFFFFF"/>
        <w:spacing w:before="100" w:beforeAutospacing="1" w:after="100" w:afterAutospacing="1" w:line="240" w:lineRule="auto"/>
        <w:jc w:val="both"/>
        <w:rPr>
          <w:rFonts w:eastAsia="Times New Roman"/>
          <w:color w:val="353535"/>
          <w:sz w:val="27"/>
          <w:szCs w:val="27"/>
        </w:rPr>
      </w:pPr>
      <w:r w:rsidRPr="006C6CF3">
        <w:rPr>
          <w:rFonts w:eastAsia="Times New Roman"/>
          <w:color w:val="353535"/>
          <w:sz w:val="27"/>
          <w:szCs w:val="27"/>
        </w:rPr>
        <w:t>Remittances for living expenses of parents, children, and spouse residing abroad,</w:t>
      </w:r>
    </w:p>
    <w:p w:rsidR="003A4F17" w:rsidRPr="006C6CF3" w:rsidRDefault="003A4F17" w:rsidP="00944B89">
      <w:pPr>
        <w:numPr>
          <w:ilvl w:val="0"/>
          <w:numId w:val="2"/>
        </w:numPr>
        <w:shd w:val="clear" w:color="auto" w:fill="FFFFFF"/>
        <w:spacing w:before="100" w:beforeAutospacing="1" w:after="100" w:afterAutospacing="1" w:line="240" w:lineRule="auto"/>
        <w:jc w:val="both"/>
        <w:rPr>
          <w:rFonts w:eastAsia="Times New Roman"/>
          <w:color w:val="353535"/>
          <w:sz w:val="27"/>
          <w:szCs w:val="27"/>
        </w:rPr>
      </w:pPr>
      <w:r w:rsidRPr="006C6CF3">
        <w:rPr>
          <w:rFonts w:eastAsia="Times New Roman"/>
          <w:color w:val="353535"/>
          <w:sz w:val="27"/>
          <w:szCs w:val="27"/>
        </w:rPr>
        <w:t>Expenses in connection with foreign travel, education and medical care of Parents, Spouse and children’s.</w:t>
      </w:r>
    </w:p>
    <w:p w:rsidR="003A4F17" w:rsidRPr="006C6CF3" w:rsidRDefault="003A4F17" w:rsidP="00944B89">
      <w:pPr>
        <w:pStyle w:val="acss9ebb7"/>
        <w:numPr>
          <w:ilvl w:val="0"/>
          <w:numId w:val="2"/>
        </w:numPr>
        <w:shd w:val="clear" w:color="auto" w:fill="FFFFFF"/>
        <w:spacing w:before="0" w:beforeAutospacing="0" w:after="240" w:afterAutospacing="0"/>
        <w:jc w:val="both"/>
        <w:rPr>
          <w:rFonts w:asciiTheme="minorHAnsi" w:hAnsiTheme="minorHAnsi"/>
          <w:color w:val="353535"/>
          <w:sz w:val="27"/>
          <w:szCs w:val="27"/>
        </w:rPr>
      </w:pPr>
      <w:r w:rsidRPr="006C6CF3">
        <w:rPr>
          <w:rFonts w:asciiTheme="minorHAnsi" w:hAnsiTheme="minorHAnsi"/>
          <w:color w:val="353535"/>
          <w:sz w:val="27"/>
          <w:szCs w:val="27"/>
        </w:rPr>
        <w:t>Provided that Central Government may impose such reasonable restrictions as may be prescribed in case of public interest and in consultation with Reserve Bank of India.</w:t>
      </w:r>
    </w:p>
    <w:p w:rsidR="003A4F17" w:rsidRPr="006C6CF3" w:rsidRDefault="003A4F17" w:rsidP="00944B89">
      <w:pPr>
        <w:jc w:val="both"/>
      </w:pPr>
    </w:p>
    <w:p w:rsidR="00AE20F0" w:rsidRPr="006C6CF3" w:rsidRDefault="00525946" w:rsidP="00944B89">
      <w:pPr>
        <w:pStyle w:val="ListParagraph"/>
        <w:numPr>
          <w:ilvl w:val="0"/>
          <w:numId w:val="2"/>
        </w:numPr>
        <w:jc w:val="both"/>
        <w:rPr>
          <w:rFonts w:eastAsia="Times New Roman"/>
          <w:color w:val="3C4043"/>
          <w:sz w:val="21"/>
          <w:szCs w:val="21"/>
          <w:shd w:val="clear" w:color="auto" w:fill="FFFFFF"/>
        </w:rPr>
      </w:pPr>
      <w:r w:rsidRPr="006C6CF3">
        <w:rPr>
          <w:rFonts w:eastAsia="Times New Roman"/>
          <w:b/>
          <w:bCs/>
          <w:color w:val="3C4043"/>
          <w:sz w:val="21"/>
          <w:szCs w:val="21"/>
          <w:shd w:val="clear" w:color="auto" w:fill="FFFFFF"/>
        </w:rPr>
        <w:t>2.</w:t>
      </w:r>
      <w:r w:rsidR="00255AA3" w:rsidRPr="006C6CF3">
        <w:rPr>
          <w:rFonts w:eastAsia="Times New Roman"/>
          <w:b/>
          <w:bCs/>
          <w:color w:val="3C4043"/>
          <w:sz w:val="21"/>
          <w:szCs w:val="21"/>
          <w:shd w:val="clear" w:color="auto" w:fill="FFFFFF"/>
        </w:rPr>
        <w:t>Capital Account Transactions</w:t>
      </w:r>
      <w:r w:rsidR="00255AA3" w:rsidRPr="006C6CF3">
        <w:rPr>
          <w:rFonts w:eastAsia="Times New Roman"/>
          <w:color w:val="3C4043"/>
          <w:sz w:val="21"/>
          <w:szCs w:val="21"/>
          <w:shd w:val="clear" w:color="auto" w:fill="FFFFFF"/>
        </w:rPr>
        <w:t>. </w:t>
      </w:r>
      <w:r w:rsidR="00255AA3" w:rsidRPr="006C6CF3">
        <w:rPr>
          <w:rFonts w:eastAsia="Times New Roman"/>
          <w:b/>
          <w:bCs/>
          <w:color w:val="3C4043"/>
          <w:sz w:val="21"/>
          <w:szCs w:val="21"/>
          <w:shd w:val="clear" w:color="auto" w:fill="FFFFFF"/>
        </w:rPr>
        <w:t>Capital account transaction</w:t>
      </w:r>
      <w:r w:rsidR="00255AA3" w:rsidRPr="006C6CF3">
        <w:rPr>
          <w:rFonts w:eastAsia="Times New Roman"/>
          <w:color w:val="3C4043"/>
          <w:sz w:val="21"/>
          <w:szCs w:val="21"/>
          <w:shd w:val="clear" w:color="auto" w:fill="FFFFFF"/>
        </w:rPr>
        <w:t> is defined as a </w:t>
      </w:r>
      <w:r w:rsidR="00255AA3" w:rsidRPr="006C6CF3">
        <w:rPr>
          <w:rFonts w:eastAsia="Times New Roman"/>
          <w:b/>
          <w:bCs/>
          <w:color w:val="3C4043"/>
          <w:sz w:val="21"/>
          <w:szCs w:val="21"/>
          <w:shd w:val="clear" w:color="auto" w:fill="FFFFFF"/>
        </w:rPr>
        <w:t>transaction</w:t>
      </w:r>
      <w:r w:rsidR="00255AA3" w:rsidRPr="006C6CF3">
        <w:rPr>
          <w:rFonts w:eastAsia="Times New Roman"/>
          <w:color w:val="3C4043"/>
          <w:sz w:val="21"/>
          <w:szCs w:val="21"/>
          <w:shd w:val="clear" w:color="auto" w:fill="FFFFFF"/>
        </w:rPr>
        <w:t xml:space="preserve"> which:- </w:t>
      </w:r>
      <w:r w:rsidR="00255AA3" w:rsidRPr="006C6CF3">
        <w:rPr>
          <w:rFonts w:eastAsia="Times New Roman"/>
          <w:b/>
          <w:bCs/>
          <w:color w:val="3C4043"/>
          <w:sz w:val="21"/>
          <w:szCs w:val="21"/>
          <w:shd w:val="clear" w:color="auto" w:fill="FFFFFF"/>
        </w:rPr>
        <w:t>Alters</w:t>
      </w:r>
      <w:r w:rsidR="00255AA3" w:rsidRPr="006C6CF3">
        <w:rPr>
          <w:rFonts w:eastAsia="Times New Roman"/>
          <w:color w:val="3C4043"/>
          <w:sz w:val="21"/>
          <w:szCs w:val="21"/>
          <w:shd w:val="clear" w:color="auto" w:fill="FFFFFF"/>
        </w:rPr>
        <w:t xml:space="preserve"> the assets or liabilities, including contingent liabilities, outside India of persons resident in India</w:t>
      </w:r>
      <w:r w:rsidR="00AE20F0" w:rsidRPr="006C6CF3">
        <w:rPr>
          <w:rFonts w:eastAsia="Times New Roman"/>
          <w:color w:val="3C4043"/>
          <w:sz w:val="21"/>
          <w:szCs w:val="21"/>
          <w:shd w:val="clear" w:color="auto" w:fill="FFFFFF"/>
        </w:rPr>
        <w:t>.</w:t>
      </w:r>
    </w:p>
    <w:p w:rsidR="00A56B2A" w:rsidRPr="006C6CF3" w:rsidRDefault="00A56B2A" w:rsidP="00944B89">
      <w:pPr>
        <w:jc w:val="both"/>
        <w:rPr>
          <w:rFonts w:eastAsia="Times New Roman"/>
          <w:color w:val="3C4043"/>
          <w:sz w:val="21"/>
          <w:szCs w:val="21"/>
          <w:shd w:val="clear" w:color="auto" w:fill="FFFFFF"/>
        </w:rPr>
      </w:pPr>
    </w:p>
    <w:p w:rsidR="00642CED" w:rsidRPr="006C6CF3" w:rsidRDefault="005C73AB" w:rsidP="00944B89">
      <w:pPr>
        <w:pStyle w:val="ListParagraph"/>
        <w:numPr>
          <w:ilvl w:val="0"/>
          <w:numId w:val="2"/>
        </w:numPr>
        <w:jc w:val="both"/>
        <w:rPr>
          <w:rFonts w:eastAsia="Times New Roman"/>
          <w:color w:val="3C4043"/>
          <w:sz w:val="21"/>
          <w:szCs w:val="21"/>
          <w:shd w:val="clear" w:color="auto" w:fill="FFFFFF"/>
        </w:rPr>
      </w:pPr>
      <w:r w:rsidRPr="006C6CF3">
        <w:rPr>
          <w:rFonts w:eastAsia="Times New Roman"/>
          <w:color w:val="3C4043"/>
          <w:sz w:val="21"/>
          <w:szCs w:val="21"/>
          <w:shd w:val="clear" w:color="auto" w:fill="FFFFFF"/>
        </w:rPr>
        <w:t>3</w:t>
      </w:r>
      <w:r w:rsidR="00642CED" w:rsidRPr="006C6CF3">
        <w:rPr>
          <w:rFonts w:eastAsia="Times New Roman"/>
          <w:color w:val="3C4043"/>
          <w:sz w:val="21"/>
          <w:szCs w:val="21"/>
          <w:shd w:val="clear" w:color="auto" w:fill="FFFFFF"/>
        </w:rPr>
        <w:t xml:space="preserve">. What are the </w:t>
      </w:r>
      <w:r w:rsidR="00D05CD6" w:rsidRPr="006C6CF3">
        <w:rPr>
          <w:rFonts w:eastAsia="Times New Roman"/>
          <w:color w:val="3C4043"/>
          <w:sz w:val="21"/>
          <w:szCs w:val="21"/>
          <w:shd w:val="clear" w:color="auto" w:fill="FFFFFF"/>
        </w:rPr>
        <w:t>Reserve Bank of  powers to issue directions to authorized person as per FEMA 1999</w:t>
      </w:r>
      <w:r w:rsidR="00A56B2A" w:rsidRPr="006C6CF3">
        <w:rPr>
          <w:rFonts w:eastAsia="Times New Roman"/>
          <w:color w:val="3C4043"/>
          <w:sz w:val="21"/>
          <w:szCs w:val="21"/>
          <w:shd w:val="clear" w:color="auto" w:fill="FFFFFF"/>
        </w:rPr>
        <w:t>?</w:t>
      </w:r>
    </w:p>
    <w:p w:rsidR="00AE20F0" w:rsidRPr="006C6CF3" w:rsidRDefault="00AE20F0" w:rsidP="00944B89">
      <w:pPr>
        <w:jc w:val="both"/>
        <w:rPr>
          <w:rFonts w:eastAsia="Times New Roman"/>
          <w:color w:val="3C4043"/>
          <w:sz w:val="21"/>
          <w:szCs w:val="21"/>
          <w:shd w:val="clear" w:color="auto" w:fill="FFFFFF"/>
        </w:rPr>
      </w:pPr>
    </w:p>
    <w:p w:rsidR="00AE20F0" w:rsidRPr="006C6CF3" w:rsidRDefault="00AE20F0" w:rsidP="00944B89">
      <w:pPr>
        <w:pStyle w:val="ListParagraph"/>
        <w:numPr>
          <w:ilvl w:val="0"/>
          <w:numId w:val="2"/>
        </w:numPr>
        <w:shd w:val="clear" w:color="auto" w:fill="FFFFFF"/>
        <w:jc w:val="both"/>
        <w:divId w:val="2075665098"/>
        <w:rPr>
          <w:rFonts w:eastAsia="Times New Roman"/>
          <w:color w:val="141F3C"/>
          <w:sz w:val="21"/>
          <w:szCs w:val="21"/>
        </w:rPr>
      </w:pPr>
      <w:r w:rsidRPr="006C6CF3">
        <w:rPr>
          <w:rStyle w:val="highlight-data"/>
          <w:rFonts w:eastAsia="Times New Roman"/>
          <w:color w:val="141F3C"/>
          <w:sz w:val="21"/>
          <w:szCs w:val="21"/>
          <w:shd w:val="clear" w:color="auto" w:fill="F1F1F1"/>
        </w:rPr>
        <w:t>Section 11 - Reserve Bank’s powers to issue directions to authorised person.</w:t>
      </w:r>
    </w:p>
    <w:p w:rsidR="00AE20F0" w:rsidRPr="006C6CF3" w:rsidRDefault="00E14102" w:rsidP="00944B89">
      <w:pPr>
        <w:shd w:val="clear" w:color="auto" w:fill="F1F1F1"/>
        <w:jc w:val="both"/>
        <w:divId w:val="812215254"/>
        <w:rPr>
          <w:rFonts w:eastAsia="Times New Roman"/>
          <w:color w:val="23224A"/>
          <w:sz w:val="21"/>
          <w:szCs w:val="21"/>
        </w:rPr>
      </w:pPr>
      <w:hyperlink r:id="rId6" w:tooltip="Previous Section" w:history="1">
        <w:r w:rsidR="00AE20F0" w:rsidRPr="006C6CF3">
          <w:rPr>
            <w:rStyle w:val="Hyperlink"/>
            <w:rFonts w:eastAsia="Times New Roman"/>
            <w:sz w:val="21"/>
            <w:szCs w:val="21"/>
            <w:u w:val="none"/>
          </w:rPr>
          <w:t> </w:t>
        </w:r>
      </w:hyperlink>
      <w:r w:rsidR="00AE20F0" w:rsidRPr="006C6CF3">
        <w:rPr>
          <w:rFonts w:eastAsia="Times New Roman"/>
          <w:color w:val="23224A"/>
          <w:sz w:val="21"/>
          <w:szCs w:val="21"/>
        </w:rPr>
        <w:t>   </w:t>
      </w:r>
    </w:p>
    <w:p w:rsidR="00AE20F0" w:rsidRPr="006C6CF3" w:rsidRDefault="00AE20F0" w:rsidP="00944B89">
      <w:pPr>
        <w:pStyle w:val="NormalWeb"/>
        <w:numPr>
          <w:ilvl w:val="0"/>
          <w:numId w:val="2"/>
        </w:numPr>
        <w:shd w:val="clear" w:color="auto" w:fill="FFFFFF"/>
        <w:spacing w:before="0" w:beforeAutospacing="0" w:after="225" w:afterAutospacing="0" w:line="330" w:lineRule="atLeast"/>
        <w:jc w:val="both"/>
        <w:divId w:val="394933205"/>
        <w:rPr>
          <w:rFonts w:asciiTheme="minorHAnsi" w:hAnsiTheme="minorHAnsi"/>
          <w:color w:val="141F3C"/>
          <w:sz w:val="20"/>
          <w:szCs w:val="20"/>
        </w:rPr>
      </w:pPr>
      <w:r w:rsidRPr="006C6CF3">
        <w:rPr>
          <w:rFonts w:asciiTheme="minorHAnsi" w:hAnsiTheme="minorHAnsi"/>
          <w:color w:val="141F3C"/>
          <w:sz w:val="20"/>
          <w:szCs w:val="20"/>
        </w:rPr>
        <w:t>The Reserve Bank may, for the purpose of securing compliance with the provisions of this Act and of any rules, regulations, notifications or directions made thereunder, give to the authorised persons any direction in regard to making of payment or the doing or desist from doing any act relating to foreign exchange or foreign security.</w:t>
      </w:r>
    </w:p>
    <w:p w:rsidR="00AE20F0" w:rsidRPr="006C6CF3" w:rsidRDefault="00AE20F0" w:rsidP="00944B89">
      <w:pPr>
        <w:pStyle w:val="NormalWeb"/>
        <w:numPr>
          <w:ilvl w:val="0"/>
          <w:numId w:val="2"/>
        </w:numPr>
        <w:shd w:val="clear" w:color="auto" w:fill="FFFFFF"/>
        <w:spacing w:before="0" w:beforeAutospacing="0" w:after="225" w:afterAutospacing="0" w:line="330" w:lineRule="atLeast"/>
        <w:jc w:val="both"/>
        <w:divId w:val="394933205"/>
        <w:rPr>
          <w:rFonts w:asciiTheme="minorHAnsi" w:hAnsiTheme="minorHAnsi"/>
          <w:color w:val="141F3C"/>
          <w:sz w:val="20"/>
          <w:szCs w:val="20"/>
        </w:rPr>
      </w:pPr>
      <w:r w:rsidRPr="006C6CF3">
        <w:rPr>
          <w:rFonts w:asciiTheme="minorHAnsi" w:hAnsiTheme="minorHAnsi"/>
          <w:color w:val="141F3C"/>
          <w:sz w:val="20"/>
          <w:szCs w:val="20"/>
        </w:rPr>
        <w:t>The Reserve Bank may, for the purpose of ensuring the compliance with the provisions of this Act or of any rule, regulation, notification, direction or order made thereunder, direct any authorised person to furnish such information, in such man</w:t>
      </w:r>
      <w:bookmarkStart w:id="0" w:name="_GoBack"/>
      <w:bookmarkEnd w:id="0"/>
      <w:r w:rsidRPr="006C6CF3">
        <w:rPr>
          <w:rFonts w:asciiTheme="minorHAnsi" w:hAnsiTheme="minorHAnsi"/>
          <w:color w:val="141F3C"/>
          <w:sz w:val="20"/>
          <w:szCs w:val="20"/>
        </w:rPr>
        <w:t>ner, as it deems fit.</w:t>
      </w:r>
    </w:p>
    <w:p w:rsidR="00AE20F0" w:rsidRPr="006C6CF3" w:rsidRDefault="00AE20F0" w:rsidP="00944B89">
      <w:pPr>
        <w:pStyle w:val="NormalWeb"/>
        <w:numPr>
          <w:ilvl w:val="0"/>
          <w:numId w:val="2"/>
        </w:numPr>
        <w:shd w:val="clear" w:color="auto" w:fill="FFFFFF"/>
        <w:spacing w:before="0" w:beforeAutospacing="0" w:after="150" w:afterAutospacing="0" w:line="330" w:lineRule="atLeast"/>
        <w:jc w:val="both"/>
        <w:divId w:val="394933205"/>
        <w:rPr>
          <w:rFonts w:asciiTheme="minorHAnsi" w:hAnsiTheme="minorHAnsi"/>
          <w:color w:val="141F3C"/>
          <w:sz w:val="20"/>
          <w:szCs w:val="20"/>
        </w:rPr>
      </w:pPr>
      <w:r w:rsidRPr="006C6CF3">
        <w:rPr>
          <w:rFonts w:asciiTheme="minorHAnsi" w:hAnsiTheme="minorHAnsi"/>
          <w:color w:val="141F3C"/>
          <w:sz w:val="20"/>
          <w:szCs w:val="20"/>
        </w:rPr>
        <w:lastRenderedPageBreak/>
        <w:t>Where any authorised person contravenes any direction given by the Reserve Bank under this Act or fails to file any return as directed by the Reserve Bank, the Reserve Bank may, after giving reasonable opportunity of being heard, impose on the authorised person a penalty which may extend to ten thousand rupees and in the case of continuing contravention with an additional penalty which may extend to two thousand rupees for every day during which such contravention continues.</w:t>
      </w:r>
    </w:p>
    <w:p w:rsidR="00AE20F0" w:rsidRPr="006C6CF3" w:rsidRDefault="00AE20F0" w:rsidP="00944B89">
      <w:pPr>
        <w:jc w:val="both"/>
        <w:rPr>
          <w:rFonts w:eastAsia="Times New Roman"/>
          <w:color w:val="3C4043"/>
          <w:sz w:val="21"/>
          <w:szCs w:val="21"/>
          <w:shd w:val="clear" w:color="auto" w:fill="FFFFFF"/>
        </w:rPr>
      </w:pPr>
    </w:p>
    <w:p w:rsidR="00AE20F0" w:rsidRPr="006C6CF3" w:rsidRDefault="00AE20F0" w:rsidP="00944B89">
      <w:pPr>
        <w:jc w:val="both"/>
        <w:rPr>
          <w:rFonts w:eastAsia="Times New Roman"/>
          <w:color w:val="3C4043"/>
          <w:sz w:val="21"/>
          <w:szCs w:val="21"/>
          <w:shd w:val="clear" w:color="auto" w:fill="FFFFFF"/>
        </w:rPr>
      </w:pPr>
    </w:p>
    <w:p w:rsidR="00255AA3" w:rsidRPr="006C6CF3" w:rsidRDefault="00255AA3" w:rsidP="009D5818">
      <w:pPr>
        <w:pStyle w:val="ListParagraph"/>
        <w:jc w:val="both"/>
      </w:pPr>
    </w:p>
    <w:sectPr w:rsidR="00255AA3" w:rsidRPr="006C6C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47BB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7205EE"/>
    <w:multiLevelType w:val="hybridMultilevel"/>
    <w:tmpl w:val="A3569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BD3411"/>
    <w:multiLevelType w:val="hybridMultilevel"/>
    <w:tmpl w:val="50D8D0D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17"/>
    <w:rsid w:val="0001799B"/>
    <w:rsid w:val="000E34FB"/>
    <w:rsid w:val="00255AA3"/>
    <w:rsid w:val="003A4F17"/>
    <w:rsid w:val="004C4732"/>
    <w:rsid w:val="00525946"/>
    <w:rsid w:val="005C73AB"/>
    <w:rsid w:val="00642CED"/>
    <w:rsid w:val="006C6CF3"/>
    <w:rsid w:val="00944B89"/>
    <w:rsid w:val="009D5818"/>
    <w:rsid w:val="00A27FF4"/>
    <w:rsid w:val="00A56B2A"/>
    <w:rsid w:val="00AE20F0"/>
    <w:rsid w:val="00D05CD6"/>
    <w:rsid w:val="00E14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DE0737"/>
  <w15:chartTrackingRefBased/>
  <w15:docId w15:val="{35FA13DD-3276-A645-B99D-C52DC31F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ss9ebb7">
    <w:name w:val="acss9ebb7"/>
    <w:basedOn w:val="Normal"/>
    <w:rsid w:val="003A4F17"/>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A4F17"/>
    <w:rPr>
      <w:b/>
      <w:bCs/>
    </w:rPr>
  </w:style>
  <w:style w:type="character" w:styleId="Hyperlink">
    <w:name w:val="Hyperlink"/>
    <w:basedOn w:val="DefaultParagraphFont"/>
    <w:uiPriority w:val="99"/>
    <w:semiHidden/>
    <w:unhideWhenUsed/>
    <w:rsid w:val="003A4F17"/>
    <w:rPr>
      <w:color w:val="0000FF"/>
      <w:u w:val="single"/>
    </w:rPr>
  </w:style>
  <w:style w:type="character" w:customStyle="1" w:styleId="highlight-data">
    <w:name w:val="highlight-data"/>
    <w:basedOn w:val="DefaultParagraphFont"/>
    <w:rsid w:val="00AE20F0"/>
  </w:style>
  <w:style w:type="paragraph" w:styleId="NormalWeb">
    <w:name w:val="Normal (Web)"/>
    <w:basedOn w:val="Normal"/>
    <w:uiPriority w:val="99"/>
    <w:semiHidden/>
    <w:unhideWhenUsed/>
    <w:rsid w:val="00AE20F0"/>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A27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220344">
      <w:bodyDiv w:val="1"/>
      <w:marLeft w:val="0"/>
      <w:marRight w:val="0"/>
      <w:marTop w:val="0"/>
      <w:marBottom w:val="0"/>
      <w:divBdr>
        <w:top w:val="none" w:sz="0" w:space="0" w:color="auto"/>
        <w:left w:val="none" w:sz="0" w:space="0" w:color="auto"/>
        <w:bottom w:val="none" w:sz="0" w:space="0" w:color="auto"/>
        <w:right w:val="none" w:sz="0" w:space="0" w:color="auto"/>
      </w:divBdr>
      <w:divsChild>
        <w:div w:id="113138228">
          <w:marLeft w:val="0"/>
          <w:marRight w:val="0"/>
          <w:marTop w:val="0"/>
          <w:marBottom w:val="0"/>
          <w:divBdr>
            <w:top w:val="none" w:sz="0" w:space="0" w:color="auto"/>
            <w:left w:val="none" w:sz="0" w:space="0" w:color="auto"/>
            <w:bottom w:val="none" w:sz="0" w:space="0" w:color="auto"/>
            <w:right w:val="none" w:sz="0" w:space="0" w:color="auto"/>
          </w:divBdr>
          <w:divsChild>
            <w:div w:id="2075665098">
              <w:marLeft w:val="0"/>
              <w:marRight w:val="0"/>
              <w:marTop w:val="0"/>
              <w:marBottom w:val="0"/>
              <w:divBdr>
                <w:top w:val="none" w:sz="0" w:space="0" w:color="auto"/>
                <w:left w:val="none" w:sz="0" w:space="0" w:color="auto"/>
                <w:bottom w:val="none" w:sz="0" w:space="0" w:color="auto"/>
                <w:right w:val="none" w:sz="0" w:space="0" w:color="auto"/>
              </w:divBdr>
            </w:div>
            <w:div w:id="812215254">
              <w:marLeft w:val="0"/>
              <w:marRight w:val="0"/>
              <w:marTop w:val="0"/>
              <w:marBottom w:val="0"/>
              <w:divBdr>
                <w:top w:val="none" w:sz="0" w:space="0" w:color="auto"/>
                <w:left w:val="none" w:sz="0" w:space="0" w:color="auto"/>
                <w:bottom w:val="none" w:sz="0" w:space="0" w:color="auto"/>
                <w:right w:val="none" w:sz="0" w:space="0" w:color="auto"/>
              </w:divBdr>
            </w:div>
          </w:divsChild>
        </w:div>
        <w:div w:id="392393015">
          <w:marLeft w:val="0"/>
          <w:marRight w:val="0"/>
          <w:marTop w:val="0"/>
          <w:marBottom w:val="0"/>
          <w:divBdr>
            <w:top w:val="none" w:sz="0" w:space="0" w:color="auto"/>
            <w:left w:val="none" w:sz="0" w:space="0" w:color="auto"/>
            <w:bottom w:val="none" w:sz="0" w:space="0" w:color="auto"/>
            <w:right w:val="none" w:sz="0" w:space="0" w:color="auto"/>
          </w:divBdr>
          <w:divsChild>
            <w:div w:id="2090492572">
              <w:marLeft w:val="0"/>
              <w:marRight w:val="0"/>
              <w:marTop w:val="0"/>
              <w:marBottom w:val="0"/>
              <w:divBdr>
                <w:top w:val="none" w:sz="0" w:space="0" w:color="auto"/>
                <w:left w:val="none" w:sz="0" w:space="0" w:color="auto"/>
                <w:bottom w:val="none" w:sz="0" w:space="0" w:color="auto"/>
                <w:right w:val="none" w:sz="0" w:space="0" w:color="auto"/>
              </w:divBdr>
              <w:divsChild>
                <w:div w:id="3949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www.femaindia.in/ui/FemaActDetails.aspx?str=section-10-authorised-person" TargetMode="External" /><Relationship Id="rId5" Type="http://schemas.openxmlformats.org/officeDocument/2006/relationships/hyperlink" Target="https://taxguru.in/rbi/fema-current-capital-account-transactions-release-foreign-exchange.html"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ramsahaani@gmail.com</dc:creator>
  <cp:keywords/>
  <dc:description/>
  <cp:lastModifiedBy>ramsahaani@gmail.com</cp:lastModifiedBy>
  <cp:revision>17</cp:revision>
  <dcterms:created xsi:type="dcterms:W3CDTF">2020-05-08T06:43:00Z</dcterms:created>
  <dcterms:modified xsi:type="dcterms:W3CDTF">2020-05-08T13:46:00Z</dcterms:modified>
</cp:coreProperties>
</file>